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ind w:firstLine="426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ДОГОВОР О ЗАДАТКЕ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3"/>
        <w:ind w:firstLine="426"/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3"/>
        <w:jc w:val="center"/>
      </w:pPr>
      <w:r>
        <w:rPr>
          <w:sz w:val="22"/>
          <w:szCs w:val="22"/>
        </w:rPr>
        <w:t xml:space="preserve">г. Москва</w:t>
        <w:tab/>
        <w:tab/>
        <w:tab/>
        <w:tab/>
        <w:tab/>
        <w:tab/>
        <w:tab/>
        <w:tab/>
        <w:t xml:space="preserve">                   «____» ______________ г.</w:t>
      </w:r>
      <w:r/>
    </w:p>
    <w:p>
      <w:pPr>
        <w:pStyle w:val="853"/>
        <w:ind w:firstLine="426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5"/>
        <w:ind w:firstLine="426"/>
        <w:jc w:val="both"/>
      </w:pPr>
      <w:r>
        <w:rPr>
          <w:b/>
          <w:bCs/>
          <w:sz w:val="22"/>
          <w:szCs w:val="22"/>
        </w:rPr>
        <w:t xml:space="preserve">ЗАО «ТПК Продрегионсервис»</w:t>
      </w:r>
      <w:r>
        <w:rPr>
          <w:b/>
          <w:sz w:val="22"/>
          <w:szCs w:val="22"/>
        </w:rPr>
        <w:t xml:space="preserve">,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в лице организатора торгов конкурсного управляющего Коновалова Александра Юрьевича, действующего на основании Решения Арбитражного суда г.Москвы от 27.03.2020 по делу № А40-256279/2018, именуемое в дальнейшем «Организатор торгов», с одной стороны, и</w:t>
      </w:r>
      <w:r>
        <w:rPr>
          <w:b/>
          <w:color w:val="000000"/>
          <w:sz w:val="22"/>
          <w:szCs w:val="22"/>
        </w:rPr>
        <w:t xml:space="preserve"> </w:t>
      </w:r>
      <w:r/>
    </w:p>
    <w:p>
      <w:pPr>
        <w:pStyle w:val="835"/>
        <w:ind w:firstLine="426"/>
        <w:jc w:val="both"/>
      </w:pPr>
      <w:r>
        <w:rPr>
          <w:b/>
          <w:bCs/>
          <w:sz w:val="22"/>
          <w:szCs w:val="22"/>
        </w:rPr>
        <w:t xml:space="preserve">_______________________________________________________,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«Претендент», с другой стороны, заключили настоящий договор о нижеследующем:</w:t>
      </w:r>
      <w:r/>
    </w:p>
    <w:p>
      <w:pPr>
        <w:pStyle w:val="835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5"/>
        <w:numPr>
          <w:ilvl w:val="0"/>
          <w:numId w:val="2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Предмет договора.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35"/>
        <w:numPr>
          <w:ilvl w:val="1"/>
          <w:numId w:val="2"/>
        </w:numPr>
        <w:ind w:left="0" w:firstLine="540"/>
        <w:jc w:val="both"/>
        <w:spacing w:before="0" w:after="120"/>
        <w:tabs>
          <w:tab w:val="clear" w:pos="708" w:leader="none"/>
          <w:tab w:val="left" w:pos="1080" w:leader="none"/>
        </w:tabs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Для участия в торгах по продаже имущества </w:t>
      </w:r>
      <w:r>
        <w:rPr>
          <w:b w:val="0"/>
          <w:bCs w:val="0"/>
          <w:sz w:val="22"/>
          <w:szCs w:val="22"/>
        </w:rPr>
        <w:t xml:space="preserve">ЗАО «ТПК Продрегионсервис»</w:t>
      </w:r>
      <w:r>
        <w:rPr>
          <w:b w:val="0"/>
          <w:bCs w:val="0"/>
          <w:sz w:val="22"/>
          <w:szCs w:val="22"/>
        </w:rPr>
        <w:t xml:space="preserve"> претендент обязуется перечислить зад</w:t>
      </w:r>
      <w:r>
        <w:rPr>
          <w:b w:val="0"/>
          <w:bCs w:val="0"/>
          <w:sz w:val="22"/>
          <w:szCs w:val="22"/>
        </w:rPr>
        <w:t xml:space="preserve">аток в соответствии с публикацией о торгах. Реквизиты счета: </w:t>
      </w:r>
      <w:r>
        <w:rPr>
          <w:b w:val="0"/>
          <w:bCs w:val="0"/>
          <w:sz w:val="22"/>
          <w:szCs w:val="22"/>
        </w:rPr>
        <w:t xml:space="preserve">ЗАО «ТПК Продрегионсервис»</w:t>
      </w:r>
      <w:r>
        <w:rPr>
          <w:b w:val="0"/>
          <w:bCs w:val="0"/>
          <w:sz w:val="22"/>
          <w:szCs w:val="22"/>
        </w:rPr>
        <w:t xml:space="preserve"> ИНН 7719191558 КПП 771301001 счет № 40702810701300026318 в АО «АЛЬФА-БАНК» БИК 044525593 к/с 30101810200000000593. Назначение платежа: «Задаток для участия в торгах </w:t>
      </w:r>
      <w:r>
        <w:rPr>
          <w:b w:val="0"/>
          <w:bCs w:val="0"/>
          <w:sz w:val="22"/>
          <w:szCs w:val="22"/>
        </w:rPr>
        <w:t xml:space="preserve">(№ торгов)</w:t>
      </w:r>
      <w:r>
        <w:rPr>
          <w:b w:val="0"/>
          <w:bCs w:val="0"/>
          <w:sz w:val="22"/>
          <w:szCs w:val="22"/>
        </w:rPr>
        <w:t xml:space="preserve"> </w:t>
      </w:r>
      <w:r>
        <w:rPr>
          <w:b w:val="0"/>
          <w:bCs w:val="0"/>
          <w:sz w:val="22"/>
          <w:szCs w:val="22"/>
        </w:rPr>
        <w:t xml:space="preserve">ЗАО «ТПК Продрегионсервис»</w:t>
      </w:r>
      <w:r>
        <w:rPr>
          <w:b w:val="0"/>
          <w:bCs w:val="0"/>
          <w:sz w:val="22"/>
          <w:szCs w:val="22"/>
        </w:rPr>
        <w:t xml:space="preserve">.</w: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</w:r>
    </w:p>
    <w:p>
      <w:pPr>
        <w:pStyle w:val="835"/>
        <w:ind w:left="540" w:firstLine="0"/>
        <w:jc w:val="both"/>
        <w:spacing w:before="0" w:after="120"/>
      </w:pPr>
      <w:r>
        <w:rPr>
          <w:sz w:val="22"/>
          <w:szCs w:val="22"/>
        </w:rPr>
        <w:t xml:space="preserve">Размер задатка составляет 10% (Десять процентов) от начальной цены.</w:t>
      </w:r>
      <w:r/>
      <w:r/>
    </w:p>
    <w:p>
      <w:pPr>
        <w:pStyle w:val="835"/>
        <w:ind w:left="540" w:firstLine="0"/>
        <w:jc w:val="both"/>
        <w:spacing w:before="0" w:after="120"/>
        <w:rPr>
          <w:sz w:val="22"/>
          <w:szCs w:val="22"/>
          <w:highlight w:val="none"/>
        </w:rPr>
      </w:pPr>
      <w:r>
        <w:rPr>
          <w:sz w:val="22"/>
          <w:szCs w:val="22"/>
        </w:rPr>
        <w:t xml:space="preserve">При проведении торгов</w:t>
      </w:r>
      <w:r>
        <w:rPr>
          <w:sz w:val="22"/>
          <w:szCs w:val="22"/>
          <w:highlight w:val="none"/>
        </w:rPr>
        <w:t xml:space="preserve"> в</w:t>
      </w:r>
      <w:r>
        <w:rPr>
          <w:sz w:val="22"/>
          <w:szCs w:val="22"/>
          <w:highlight w:val="none"/>
        </w:rPr>
        <w:t xml:space="preserve"> форме публичного предложения размер</w:t>
      </w:r>
      <w:r>
        <w:rPr>
          <w:sz w:val="22"/>
          <w:szCs w:val="22"/>
          <w:highlight w:val="none"/>
        </w:rPr>
        <w:t xml:space="preserve"> задатка исчисляется от начальной цены на соответствующем периоде.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Style w:val="835"/>
        <w:numPr>
          <w:ilvl w:val="1"/>
          <w:numId w:val="2"/>
        </w:numPr>
        <w:ind w:left="0" w:firstLine="540"/>
        <w:jc w:val="both"/>
        <w:spacing w:before="0" w:after="120"/>
        <w:tabs>
          <w:tab w:val="clear" w:pos="708" w:leader="none"/>
          <w:tab w:val="left" w:pos="108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При оплате задатка Претендент должен указать номер лота в соответствии с сообщением о торгах.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5"/>
        <w:numPr>
          <w:ilvl w:val="1"/>
          <w:numId w:val="2"/>
        </w:numPr>
        <w:ind w:left="0" w:firstLine="540"/>
        <w:jc w:val="both"/>
        <w:tabs>
          <w:tab w:val="clear" w:pos="708" w:leader="none"/>
          <w:tab w:val="left" w:pos="108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Сумма задатка вносится в счет обеспечения обязательств Претендента, связанных с участием в торгах, в том числе по оплате приобретенного имущества, в случае признания Претендента победителем торгов.</w:t>
      </w:r>
      <w:r>
        <w:rPr>
          <w:sz w:val="22"/>
          <w:szCs w:val="22"/>
        </w:rPr>
      </w:r>
    </w:p>
    <w:p>
      <w:pPr>
        <w:numPr>
          <w:ilvl w:val="1"/>
          <w:numId w:val="2"/>
        </w:numPr>
        <w:ind w:left="0" w:firstLine="540"/>
        <w:jc w:val="both"/>
        <w:tabs>
          <w:tab w:val="clear" w:pos="708" w:leader="none"/>
          <w:tab w:val="left" w:pos="108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  <w:t xml:space="preserve">В случае признания Претендента Победителем торгов сумма задатка засчитывается в первую очередь в счет оплаты приобретенного на торгах имущества.</w:t>
      </w:r>
      <w:r>
        <w:rPr>
          <w:sz w:val="22"/>
          <w:szCs w:val="22"/>
        </w:rPr>
      </w:r>
      <w:r/>
    </w:p>
    <w:p>
      <w:pPr>
        <w:pStyle w:val="835"/>
        <w:numPr>
          <w:ilvl w:val="1"/>
          <w:numId w:val="2"/>
        </w:numPr>
        <w:ind w:left="0" w:firstLine="540"/>
        <w:jc w:val="both"/>
        <w:tabs>
          <w:tab w:val="clear" w:pos="708" w:leader="none"/>
          <w:tab w:val="left" w:pos="108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Для участия в торгах Претендент обязуется подать заявку по форме электронного документа на сайте электронной торговой площадки адресу </w:t>
      </w:r>
      <w:r>
        <w:rPr>
          <w:sz w:val="22"/>
          <w:szCs w:val="22"/>
          <w:lang w:val="en-US"/>
        </w:rPr>
        <w:t xml:space="preserve">www</w:t>
      </w:r>
      <w:r>
        <w:rPr>
          <w:sz w:val="22"/>
          <w:szCs w:val="22"/>
        </w:rPr>
        <w:t xml:space="preserve">.</w:t>
      </w:r>
      <w:r>
        <w:rPr>
          <w:sz w:val="22"/>
          <w:szCs w:val="22"/>
          <w:lang w:val="en-US"/>
        </w:rPr>
        <w:t xml:space="preserve">meta</w:t>
      </w:r>
      <w:r>
        <w:rPr>
          <w:sz w:val="22"/>
          <w:szCs w:val="22"/>
        </w:rPr>
        <w:t xml:space="preserve">-</w:t>
      </w:r>
      <w:r>
        <w:rPr>
          <w:sz w:val="22"/>
          <w:szCs w:val="22"/>
          <w:lang w:val="en-US"/>
        </w:rPr>
        <w:t xml:space="preserve">invest</w:t>
      </w:r>
      <w:r>
        <w:rPr>
          <w:sz w:val="22"/>
          <w:szCs w:val="22"/>
        </w:rPr>
        <w:t xml:space="preserve">.</w:t>
      </w:r>
      <w:r>
        <w:rPr>
          <w:sz w:val="22"/>
          <w:szCs w:val="22"/>
          <w:lang w:val="en-US"/>
        </w:rPr>
        <w:t xml:space="preserve">ru</w:t>
      </w:r>
      <w:r>
        <w:rPr>
          <w:sz w:val="22"/>
          <w:szCs w:val="22"/>
        </w:rPr>
        <w:t xml:space="preserve"> в соответствии с приказом Минэкономразвития России № 495 от 23.07.2015 г.</w:t>
      </w:r>
      <w:r>
        <w:rPr>
          <w:sz w:val="22"/>
          <w:szCs w:val="22"/>
        </w:rPr>
      </w:r>
    </w:p>
    <w:p>
      <w:pPr>
        <w:numPr>
          <w:ilvl w:val="1"/>
          <w:numId w:val="2"/>
        </w:numPr>
        <w:ind w:left="0" w:firstLine="540"/>
        <w:jc w:val="both"/>
        <w:tabs>
          <w:tab w:val="clear" w:pos="708" w:leader="none"/>
          <w:tab w:val="left" w:pos="108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  <w:t xml:space="preserve">Заключая договор о задатке и оплачивая задаток</w:t>
      </w:r>
      <w:r>
        <w:rPr>
          <w:sz w:val="22"/>
          <w:szCs w:val="22"/>
        </w:rPr>
        <w:t xml:space="preserve">, претендент подтверждает, что ознакомлен с сообщением о торгах, с имуществом, реализуемом на торгах, порядок и условия участия в торгах ему известны и понятны.</w:t>
      </w:r>
      <w:r>
        <w:rPr>
          <w:sz w:val="22"/>
          <w:szCs w:val="22"/>
        </w:rPr>
      </w:r>
      <w:r/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  <w:r>
        <w:rPr>
          <w:sz w:val="22"/>
          <w:szCs w:val="22"/>
        </w:rPr>
      </w:r>
    </w:p>
    <w:p>
      <w:pPr>
        <w:pStyle w:val="835"/>
        <w:ind w:left="540" w:firstLine="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5"/>
        <w:numPr>
          <w:ilvl w:val="0"/>
          <w:numId w:val="2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Передача задатка.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35"/>
        <w:numPr>
          <w:ilvl w:val="1"/>
          <w:numId w:val="5"/>
        </w:numPr>
        <w:ind w:left="0" w:firstLine="567"/>
        <w:jc w:val="both"/>
        <w:tabs>
          <w:tab w:val="clear" w:pos="708" w:leader="none"/>
          <w:tab w:val="left" w:pos="851" w:leader="none"/>
        </w:tabs>
      </w:pPr>
      <w:r>
        <w:rPr>
          <w:sz w:val="22"/>
          <w:szCs w:val="22"/>
        </w:rPr>
        <w:t xml:space="preserve">. Заявитель обязан обеспечить поступление задатка на счета, указанные в сообщении о проведении торгов, на дату составления протокола об определении участников торгов.</w:t>
      </w:r>
      <w:r/>
      <w:r/>
    </w:p>
    <w:p>
      <w:pPr>
        <w:pStyle w:val="835"/>
        <w:numPr>
          <w:ilvl w:val="1"/>
          <w:numId w:val="5"/>
        </w:numPr>
        <w:ind w:left="0" w:firstLine="567"/>
        <w:jc w:val="both"/>
        <w:tabs>
          <w:tab w:val="clear" w:pos="708" w:leader="none"/>
          <w:tab w:val="left" w:pos="851" w:leader="none"/>
        </w:tabs>
      </w:pPr>
      <w:r>
        <w:rPr>
          <w:sz w:val="22"/>
          <w:szCs w:val="22"/>
          <w:highlight w:val="none"/>
        </w:rPr>
        <w:t xml:space="preserve">. При участии в </w:t>
      </w:r>
      <w:r>
        <w:rPr>
          <w:sz w:val="22"/>
          <w:szCs w:val="22"/>
          <w:highlight w:val="none"/>
        </w:rPr>
        <w:t xml:space="preserve">торгах посредством публичного предл</w:t>
      </w:r>
      <w:r>
        <w:rPr>
          <w:sz w:val="22"/>
          <w:szCs w:val="22"/>
          <w:highlight w:val="none"/>
        </w:rPr>
        <w:t xml:space="preserve">ожения</w:t>
      </w:r>
      <w:r>
        <w:rPr>
          <w:sz w:val="22"/>
          <w:szCs w:val="22"/>
          <w:highlight w:val="none"/>
        </w:rPr>
        <w:t xml:space="preserve"> Заявитель обязан обеспечить поступление задатка на счета, указанные в электронном сообщении о продаже, н</w:t>
      </w:r>
      <w:r>
        <w:rPr>
          <w:sz w:val="22"/>
          <w:szCs w:val="22"/>
        </w:rPr>
        <w:t xml:space="preserve">е позднее указанного в таком сообщении даты и времени окончания приема заявок на участие в торгах для соответствующего периода проведения торгов.</w:t>
      </w:r>
      <w:r/>
      <w:r/>
    </w:p>
    <w:p>
      <w:pPr>
        <w:pStyle w:val="835"/>
        <w:numPr>
          <w:ilvl w:val="1"/>
          <w:numId w:val="5"/>
        </w:numPr>
        <w:ind w:left="0" w:firstLine="567"/>
        <w:jc w:val="both"/>
        <w:tabs>
          <w:tab w:val="clear" w:pos="708" w:leader="none"/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. На денежные средства, переданные в соответствии с настоящим договором, проценты не начисляются.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360" w:firstLine="0"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  <w:highlight w:val="none"/>
        </w:rPr>
      </w:r>
      <w:r>
        <w:rPr>
          <w:b/>
          <w:sz w:val="22"/>
          <w:szCs w:val="22"/>
          <w:highlight w:val="none"/>
        </w:rPr>
      </w:r>
    </w:p>
    <w:p>
      <w:pPr>
        <w:pStyle w:val="835"/>
        <w:numPr>
          <w:ilvl w:val="0"/>
          <w:numId w:val="2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Возврат задатка.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35"/>
        <w:numPr>
          <w:ilvl w:val="1"/>
          <w:numId w:val="2"/>
        </w:numPr>
        <w:ind w:left="0" w:firstLine="540"/>
        <w:jc w:val="both"/>
        <w:tabs>
          <w:tab w:val="clear" w:pos="708" w:leader="none"/>
          <w:tab w:val="left" w:pos="1080" w:leader="none"/>
        </w:tabs>
      </w:pPr>
      <w:r>
        <w:rPr>
          <w:sz w:val="22"/>
          <w:szCs w:val="22"/>
        </w:rPr>
        <w:t xml:space="preserve">Задаток возвращается в течение пяти дней с момента подведения результатов торгов, указанного в сообщении о проведении торгов, в случае:</w:t>
      </w:r>
      <w:r/>
    </w:p>
    <w:p>
      <w:pPr>
        <w:pStyle w:val="835"/>
        <w:numPr>
          <w:ilvl w:val="2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отказа Претенденту в участии в Торгах;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5"/>
        <w:numPr>
          <w:ilvl w:val="2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непризнания Участника торгов Победителем торгов;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5"/>
        <w:numPr>
          <w:ilvl w:val="2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признания Торгов несостоявшимися;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5"/>
        <w:numPr>
          <w:ilvl w:val="2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отмены Торгов.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5"/>
        <w:numPr>
          <w:ilvl w:val="1"/>
          <w:numId w:val="2"/>
        </w:numPr>
        <w:ind w:left="0" w:firstLine="540"/>
        <w:jc w:val="both"/>
        <w:tabs>
          <w:tab w:val="clear" w:pos="708" w:leader="none"/>
          <w:tab w:val="left" w:pos="1080" w:leader="none"/>
        </w:tabs>
      </w:pPr>
      <w:r>
        <w:rPr>
          <w:sz w:val="22"/>
          <w:szCs w:val="22"/>
        </w:rPr>
        <w:t xml:space="preserve">За</w:t>
      </w:r>
      <w:r>
        <w:rPr>
          <w:sz w:val="22"/>
          <w:szCs w:val="22"/>
        </w:rPr>
        <w:t xml:space="preserve">даток не возвращается 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договора, в случае неоплаты по договору купли-продажи.</w:t>
      </w:r>
      <w:r/>
    </w:p>
    <w:p>
      <w:pPr>
        <w:pStyle w:val="835"/>
        <w:numPr>
          <w:ilvl w:val="1"/>
          <w:numId w:val="2"/>
        </w:numPr>
        <w:ind w:left="0" w:firstLine="540"/>
        <w:jc w:val="both"/>
        <w:tabs>
          <w:tab w:val="clear" w:pos="708" w:leader="none"/>
          <w:tab w:val="left" w:pos="108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Организатор торгов обязуется обеспечить возврат задатка Претенденту в случаях, предусмотренных настоящим договором, следующим образом: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5"/>
        <w:numPr>
          <w:ilvl w:val="2"/>
          <w:numId w:val="2"/>
        </w:numPr>
        <w:jc w:val="both"/>
      </w:pPr>
      <w:r>
        <w:rPr>
          <w:sz w:val="22"/>
          <w:szCs w:val="22"/>
        </w:rPr>
        <w:t xml:space="preserve">в случае наличия у Претендента расчетного счета возврат денежных средств производится на расчетный счет Претендента со счета организатора торгов;</w:t>
      </w:r>
      <w:r/>
    </w:p>
    <w:p>
      <w:pPr>
        <w:pStyle w:val="835"/>
        <w:numPr>
          <w:ilvl w:val="2"/>
          <w:numId w:val="2"/>
        </w:numPr>
        <w:jc w:val="both"/>
      </w:pPr>
      <w:r>
        <w:rPr>
          <w:sz w:val="22"/>
          <w:szCs w:val="22"/>
        </w:rPr>
        <w:t xml:space="preserve">в иных случаях возврат денежных</w:t>
      </w:r>
      <w:r>
        <w:rPr>
          <w:sz w:val="22"/>
          <w:szCs w:val="22"/>
        </w:rPr>
        <w:t xml:space="preserve"> средств производится путем оформления соответствующих документов на получение Претендентом суммы задатка наличными денежными средствами в кассе организатора торгов. Претендент обязуется выслать своего представителя для получения наличных денежных средств.</w:t>
      </w:r>
      <w:r/>
    </w:p>
    <w:p>
      <w:pPr>
        <w:pStyle w:val="853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5"/>
        <w:numPr>
          <w:ilvl w:val="0"/>
          <w:numId w:val="2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Иные условия.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35"/>
        <w:numPr>
          <w:ilvl w:val="1"/>
          <w:numId w:val="2"/>
        </w:numPr>
        <w:ind w:left="0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Настоящий договор вступает в силу с момента его подписания сторонами и прекращает действие надлежащим исполнением.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5"/>
        <w:numPr>
          <w:ilvl w:val="1"/>
          <w:numId w:val="2"/>
        </w:numPr>
        <w:ind w:left="0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Споры, возникшие в результате действия настоящего договора, разрешаются в установленном порядке судом или арбитражным судом.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5"/>
        <w:numPr>
          <w:ilvl w:val="1"/>
          <w:numId w:val="2"/>
        </w:numPr>
        <w:ind w:left="0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Настоящий Договор составлен в 2 (Двух) экземплярах, имеющих одинаковую юридическую силу, причем один экземпляр находятся у Организатора торгов и один у Претендента.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3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5"/>
        <w:numPr>
          <w:ilvl w:val="0"/>
          <w:numId w:val="2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Реквизиты сторон.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35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tbl>
      <w:tblPr>
        <w:tblW w:w="9557" w:type="dxa"/>
        <w:tblInd w:w="-32" w:type="dxa"/>
        <w:tblLayout w:type="fixed"/>
        <w:tblCellMar>
          <w:left w:w="30" w:type="dxa"/>
          <w:top w:w="0" w:type="dxa"/>
          <w:right w:w="30" w:type="dxa"/>
          <w:bottom w:w="0" w:type="dxa"/>
        </w:tblCellMar>
        <w:tblLook w:val="04A0" w:firstRow="1" w:lastRow="0" w:firstColumn="1" w:lastColumn="0" w:noHBand="0" w:noVBand="1"/>
      </w:tblPr>
      <w:tblGrid>
        <w:gridCol w:w="4778"/>
        <w:gridCol w:w="4779"/>
      </w:tblGrid>
      <w:tr>
        <w:tblPrEx/>
        <w:trPr>
          <w:trHeight w:val="264"/>
        </w:trPr>
        <w:tc>
          <w:tcPr>
            <w:shd w:val="clear" w:color="auto" w:fill="c0c0c0"/>
            <w:tcBorders>
              <w:top w:val="single" w:color="000000" w:sz="1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tcW w:w="4778" w:type="dxa"/>
            <w:textDirection w:val="lrTb"/>
            <w:noWrap w:val="false"/>
          </w:tcPr>
          <w:p>
            <w:pPr>
              <w:pStyle w:val="83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Организатор торгов</w:t>
            </w:r>
            <w:r>
              <w:rPr>
                <w:b/>
                <w:bCs/>
                <w:color w:val="000000"/>
                <w:sz w:val="22"/>
                <w:szCs w:val="22"/>
              </w:rPr>
            </w: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c0c0c0"/>
            <w:tcBorders>
              <w:top w:val="single" w:color="000000" w:sz="12" w:space="0"/>
              <w:bottom w:val="single" w:color="000000" w:sz="12" w:space="0"/>
              <w:right w:val="single" w:color="000000" w:sz="2" w:space="0"/>
            </w:tcBorders>
            <w:tcW w:w="4779" w:type="dxa"/>
            <w:textDirection w:val="lrTb"/>
            <w:noWrap w:val="false"/>
          </w:tcPr>
          <w:p>
            <w:pPr>
              <w:pStyle w:val="83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Претендент</w:t>
            </w:r>
            <w:r>
              <w:rPr>
                <w:b/>
                <w:bCs/>
                <w:color w:val="000000"/>
                <w:sz w:val="22"/>
                <w:szCs w:val="22"/>
              </w:rPr>
            </w: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</w:tr>
      <w:tr>
        <w:tblPrEx/>
        <w:trPr>
          <w:cantSplit/>
          <w:trHeight w:val="2120"/>
        </w:trPr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778" w:type="dxa"/>
            <w:textDirection w:val="lrTb"/>
            <w:noWrap w:val="false"/>
          </w:tcPr>
          <w:p>
            <w:pPr>
              <w:pStyle w:val="853"/>
            </w:pPr>
            <w:r>
              <w:t xml:space="preserve">ЗАО «ТПК Продрегионсервис»</w:t>
            </w:r>
            <w:r/>
          </w:p>
          <w:p>
            <w:pPr>
              <w:pStyle w:val="853"/>
            </w:pPr>
            <w:r/>
            <w:r/>
          </w:p>
          <w:p>
            <w:pPr>
              <w:pStyle w:val="853"/>
            </w:pPr>
            <w:r>
              <w:t xml:space="preserve">ОГРН 1027700112648 ИНН 7719191558</w:t>
            </w:r>
            <w:r/>
          </w:p>
          <w:p>
            <w:pPr>
              <w:pStyle w:val="853"/>
              <w:rPr>
                <w:highlight w:val="none"/>
              </w:rPr>
            </w:pPr>
            <w:r>
              <w:t xml:space="preserve">Адрес: 127299, Москва, ул.Б.Академическая, д. 5 стр. 1</w:t>
            </w:r>
            <w:r/>
          </w:p>
          <w:p>
            <w:pPr>
              <w:pStyle w:val="853"/>
            </w:pPr>
            <w:r/>
            <w:r/>
          </w:p>
          <w:p>
            <w:pPr>
              <w:pStyle w:val="853"/>
            </w:pPr>
            <w:r>
              <w:rPr>
                <w:highlight w:val="none"/>
              </w:rPr>
            </w:r>
            <w:r>
              <w:rPr>
                <w:b w:val="0"/>
                <w:bCs w:val="0"/>
                <w:sz w:val="22"/>
                <w:szCs w:val="22"/>
              </w:rPr>
              <w:t xml:space="preserve">ИНН 7719191558 КПП 771301001 счет № 40702810701300026318 в АО «АЛЬФА-БАНК» БИК 044525593 к/с № 30101810200000000593</w:t>
            </w:r>
            <w:r/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8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3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_________________/Коновалов А.Ю.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bottom w:val="single" w:color="000000" w:sz="2" w:space="0"/>
              <w:right w:val="single" w:color="000000" w:sz="2" w:space="0"/>
            </w:tcBorders>
            <w:tcW w:w="4779" w:type="dxa"/>
            <w:textDirection w:val="lrTb"/>
            <w:noWrap w:val="false"/>
          </w:tcPr>
          <w:p>
            <w:pPr>
              <w:pStyle w:val="835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</w:tbl>
    <w:p>
      <w:pPr>
        <w:pStyle w:val="853"/>
        <w:ind w:left="360" w:firstLine="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sectPr>
      <w:footnotePr/>
      <w:endnotePr/>
      <w:type w:val="nextPage"/>
      <w:pgSz w:w="11906" w:h="16838" w:orient="portrait"/>
      <w:pgMar w:top="567" w:right="567" w:bottom="567" w:left="907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506030602030204"/>
  </w:font>
  <w:font w:name="Calibri">
    <w:panose1 w:val="020F0502020204030204"/>
  </w:font>
  <w:font w:name="Wingdings">
    <w:panose1 w:val="05010000000000000000"/>
  </w:font>
  <w:font w:name="Myriad Pro;Arial"/>
  <w:font w:name="Courier New">
    <w:panose1 w:val="02070409020205020404"/>
  </w:font>
  <w:font w:name="Symbol">
    <w:panose1 w:val="05010000000000000000"/>
  </w:font>
  <w:font w:name="Arial">
    <w:panose1 w:val="020B0604020202020204"/>
  </w:font>
  <w:font w:name="DejaVu Sans">
    <w:panose1 w:val="020B0603030804020204"/>
  </w:font>
  <w:font w:name="Arial Narrow">
    <w:panose1 w:val="020B0606020202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36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"/>
      <w:lvlJc w:val="left"/>
      <w:pPr>
        <w:ind w:left="360" w:hanging="36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2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4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36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"/>
      <w:lvlJc w:val="left"/>
      <w:pPr>
        <w:ind w:left="360" w:hanging="36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  <w:tabs>
          <w:tab w:val="num" w:pos="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5"/>
    <w:next w:val="835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5"/>
    <w:next w:val="835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5"/>
    <w:next w:val="835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5"/>
    <w:next w:val="835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5"/>
    <w:next w:val="835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5"/>
    <w:next w:val="835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5"/>
    <w:next w:val="835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5"/>
    <w:next w:val="835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5"/>
    <w:next w:val="835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List Paragraph"/>
    <w:basedOn w:val="835"/>
    <w:uiPriority w:val="34"/>
    <w:qFormat/>
    <w:pPr>
      <w:contextualSpacing/>
      <w:ind w:left="720"/>
    </w:pPr>
  </w:style>
  <w:style w:type="paragraph" w:styleId="679">
    <w:name w:val="No Spacing"/>
    <w:uiPriority w:val="1"/>
    <w:qFormat/>
    <w:pPr>
      <w:spacing w:before="0" w:after="0" w:line="240" w:lineRule="auto"/>
    </w:pPr>
  </w:style>
  <w:style w:type="paragraph" w:styleId="680">
    <w:name w:val="Title"/>
    <w:basedOn w:val="835"/>
    <w:next w:val="835"/>
    <w:link w:val="68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1">
    <w:name w:val="Title Char"/>
    <w:link w:val="680"/>
    <w:uiPriority w:val="10"/>
    <w:rPr>
      <w:sz w:val="48"/>
      <w:szCs w:val="48"/>
    </w:rPr>
  </w:style>
  <w:style w:type="paragraph" w:styleId="682">
    <w:name w:val="Subtitle"/>
    <w:basedOn w:val="835"/>
    <w:next w:val="835"/>
    <w:link w:val="683"/>
    <w:uiPriority w:val="11"/>
    <w:qFormat/>
    <w:pPr>
      <w:spacing w:before="200" w:after="200"/>
    </w:pPr>
    <w:rPr>
      <w:sz w:val="24"/>
      <w:szCs w:val="24"/>
    </w:rPr>
  </w:style>
  <w:style w:type="character" w:styleId="683">
    <w:name w:val="Subtitle Char"/>
    <w:link w:val="682"/>
    <w:uiPriority w:val="11"/>
    <w:rPr>
      <w:sz w:val="24"/>
      <w:szCs w:val="24"/>
    </w:rPr>
  </w:style>
  <w:style w:type="paragraph" w:styleId="684">
    <w:name w:val="Quote"/>
    <w:basedOn w:val="835"/>
    <w:next w:val="835"/>
    <w:link w:val="685"/>
    <w:uiPriority w:val="29"/>
    <w:qFormat/>
    <w:pPr>
      <w:ind w:left="720" w:right="720"/>
    </w:pPr>
    <w:rPr>
      <w:i/>
    </w:rPr>
  </w:style>
  <w:style w:type="character" w:styleId="685">
    <w:name w:val="Quote Char"/>
    <w:link w:val="684"/>
    <w:uiPriority w:val="29"/>
    <w:rPr>
      <w:i/>
    </w:rPr>
  </w:style>
  <w:style w:type="paragraph" w:styleId="686">
    <w:name w:val="Intense Quote"/>
    <w:basedOn w:val="835"/>
    <w:next w:val="835"/>
    <w:link w:val="68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7">
    <w:name w:val="Intense Quote Char"/>
    <w:link w:val="686"/>
    <w:uiPriority w:val="30"/>
    <w:rPr>
      <w:i/>
    </w:rPr>
  </w:style>
  <w:style w:type="character" w:styleId="688">
    <w:name w:val="Header Char"/>
    <w:link w:val="866"/>
    <w:uiPriority w:val="99"/>
  </w:style>
  <w:style w:type="paragraph" w:styleId="689">
    <w:name w:val="Footer"/>
    <w:basedOn w:val="835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0">
    <w:name w:val="Footer Char"/>
    <w:link w:val="689"/>
    <w:uiPriority w:val="99"/>
  </w:style>
  <w:style w:type="character" w:styleId="691">
    <w:name w:val="Caption Char"/>
    <w:basedOn w:val="855"/>
    <w:link w:val="689"/>
    <w:uiPriority w:val="99"/>
  </w:style>
  <w:style w:type="table" w:styleId="69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8">
    <w:name w:val="footnote text"/>
    <w:basedOn w:val="835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>
    <w:name w:val="Footnote Text Char"/>
    <w:link w:val="818"/>
    <w:uiPriority w:val="99"/>
    <w:rPr>
      <w:sz w:val="18"/>
    </w:rPr>
  </w:style>
  <w:style w:type="character" w:styleId="820">
    <w:name w:val="footnote reference"/>
    <w:uiPriority w:val="99"/>
    <w:unhideWhenUsed/>
    <w:rPr>
      <w:vertAlign w:val="superscript"/>
    </w:rPr>
  </w:style>
  <w:style w:type="paragraph" w:styleId="821">
    <w:name w:val="endnote text"/>
    <w:basedOn w:val="835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>
    <w:name w:val="Endnote Text Char"/>
    <w:link w:val="821"/>
    <w:uiPriority w:val="99"/>
    <w:rPr>
      <w:sz w:val="20"/>
    </w:rPr>
  </w:style>
  <w:style w:type="character" w:styleId="823">
    <w:name w:val="endnote reference"/>
    <w:uiPriority w:val="99"/>
    <w:semiHidden/>
    <w:unhideWhenUsed/>
    <w:rPr>
      <w:vertAlign w:val="superscript"/>
    </w:rPr>
  </w:style>
  <w:style w:type="paragraph" w:styleId="824">
    <w:name w:val="toc 1"/>
    <w:basedOn w:val="835"/>
    <w:next w:val="835"/>
    <w:uiPriority w:val="39"/>
    <w:unhideWhenUsed/>
    <w:pPr>
      <w:ind w:left="0" w:right="0" w:firstLine="0"/>
      <w:spacing w:after="57"/>
    </w:pPr>
  </w:style>
  <w:style w:type="paragraph" w:styleId="825">
    <w:name w:val="toc 2"/>
    <w:basedOn w:val="835"/>
    <w:next w:val="835"/>
    <w:uiPriority w:val="39"/>
    <w:unhideWhenUsed/>
    <w:pPr>
      <w:ind w:left="283" w:right="0" w:firstLine="0"/>
      <w:spacing w:after="57"/>
    </w:pPr>
  </w:style>
  <w:style w:type="paragraph" w:styleId="826">
    <w:name w:val="toc 3"/>
    <w:basedOn w:val="835"/>
    <w:next w:val="835"/>
    <w:uiPriority w:val="39"/>
    <w:unhideWhenUsed/>
    <w:pPr>
      <w:ind w:left="567" w:right="0" w:firstLine="0"/>
      <w:spacing w:after="57"/>
    </w:pPr>
  </w:style>
  <w:style w:type="paragraph" w:styleId="827">
    <w:name w:val="toc 4"/>
    <w:basedOn w:val="835"/>
    <w:next w:val="835"/>
    <w:uiPriority w:val="39"/>
    <w:unhideWhenUsed/>
    <w:pPr>
      <w:ind w:left="850" w:right="0" w:firstLine="0"/>
      <w:spacing w:after="57"/>
    </w:pPr>
  </w:style>
  <w:style w:type="paragraph" w:styleId="828">
    <w:name w:val="toc 5"/>
    <w:basedOn w:val="835"/>
    <w:next w:val="835"/>
    <w:uiPriority w:val="39"/>
    <w:unhideWhenUsed/>
    <w:pPr>
      <w:ind w:left="1134" w:right="0" w:firstLine="0"/>
      <w:spacing w:after="57"/>
    </w:pPr>
  </w:style>
  <w:style w:type="paragraph" w:styleId="829">
    <w:name w:val="toc 6"/>
    <w:basedOn w:val="835"/>
    <w:next w:val="835"/>
    <w:uiPriority w:val="39"/>
    <w:unhideWhenUsed/>
    <w:pPr>
      <w:ind w:left="1417" w:right="0" w:firstLine="0"/>
      <w:spacing w:after="57"/>
    </w:pPr>
  </w:style>
  <w:style w:type="paragraph" w:styleId="830">
    <w:name w:val="toc 7"/>
    <w:basedOn w:val="835"/>
    <w:next w:val="835"/>
    <w:uiPriority w:val="39"/>
    <w:unhideWhenUsed/>
    <w:pPr>
      <w:ind w:left="1701" w:right="0" w:firstLine="0"/>
      <w:spacing w:after="57"/>
    </w:pPr>
  </w:style>
  <w:style w:type="paragraph" w:styleId="831">
    <w:name w:val="toc 8"/>
    <w:basedOn w:val="835"/>
    <w:next w:val="835"/>
    <w:uiPriority w:val="39"/>
    <w:unhideWhenUsed/>
    <w:pPr>
      <w:ind w:left="1984" w:right="0" w:firstLine="0"/>
      <w:spacing w:after="57"/>
    </w:pPr>
  </w:style>
  <w:style w:type="paragraph" w:styleId="832">
    <w:name w:val="toc 9"/>
    <w:basedOn w:val="835"/>
    <w:next w:val="835"/>
    <w:uiPriority w:val="39"/>
    <w:unhideWhenUsed/>
    <w:pPr>
      <w:ind w:left="2268" w:right="0" w:firstLine="0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835"/>
    <w:next w:val="835"/>
    <w:uiPriority w:val="99"/>
    <w:unhideWhenUsed/>
    <w:pPr>
      <w:spacing w:after="0" w:afterAutospacing="0"/>
    </w:pPr>
  </w:style>
  <w:style w:type="paragraph" w:styleId="835" w:default="1">
    <w:name w:val="Normal"/>
    <w:qFormat/>
    <w:pPr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character" w:styleId="836">
    <w:name w:val="WW8Num1z0"/>
    <w:qFormat/>
  </w:style>
  <w:style w:type="character" w:styleId="837">
    <w:name w:val="WW8Num2z0"/>
    <w:qFormat/>
  </w:style>
  <w:style w:type="character" w:styleId="838">
    <w:name w:val="WW8Num3z0"/>
    <w:qFormat/>
  </w:style>
  <w:style w:type="character" w:styleId="839">
    <w:name w:val="WW8Num6z0"/>
    <w:qFormat/>
    <w:rPr>
      <w:rFonts w:ascii="Symbol" w:hAnsi="Symbol" w:cs="Symbol"/>
    </w:rPr>
  </w:style>
  <w:style w:type="character" w:styleId="840">
    <w:name w:val="WW8Num6z1"/>
    <w:qFormat/>
    <w:rPr>
      <w:rFonts w:ascii="Courier New" w:hAnsi="Courier New" w:cs="Courier New"/>
    </w:rPr>
  </w:style>
  <w:style w:type="character" w:styleId="841">
    <w:name w:val="WW8Num6z2"/>
    <w:qFormat/>
    <w:rPr>
      <w:rFonts w:ascii="Wingdings" w:hAnsi="Wingdings" w:cs="Wingdings"/>
    </w:rPr>
  </w:style>
  <w:style w:type="character" w:styleId="842">
    <w:name w:val="WW8Num7z0"/>
    <w:qFormat/>
  </w:style>
  <w:style w:type="character" w:styleId="843">
    <w:name w:val="WW8Num7z1"/>
    <w:qFormat/>
    <w:rPr>
      <w:color w:val="000000"/>
    </w:rPr>
  </w:style>
  <w:style w:type="character" w:styleId="844">
    <w:name w:val="WW8Num8z0"/>
    <w:qFormat/>
  </w:style>
  <w:style w:type="character" w:styleId="845">
    <w:name w:val="WW8Num9z0"/>
    <w:qFormat/>
  </w:style>
  <w:style w:type="character" w:styleId="846">
    <w:name w:val="Основной шрифт абзаца"/>
    <w:qFormat/>
  </w:style>
  <w:style w:type="character" w:styleId="847">
    <w:name w:val="Знак примечания"/>
    <w:qFormat/>
    <w:rPr>
      <w:sz w:val="16"/>
      <w:szCs w:val="16"/>
    </w:rPr>
  </w:style>
  <w:style w:type="character" w:styleId="848">
    <w:name w:val="paragraph"/>
    <w:basedOn w:val="846"/>
    <w:qFormat/>
  </w:style>
  <w:style w:type="character" w:styleId="849">
    <w:name w:val="Верхний колонтитул Знак"/>
    <w:qFormat/>
    <w:rPr>
      <w:lang w:val="ru-RU" w:bidi="ar-SA"/>
    </w:rPr>
  </w:style>
  <w:style w:type="character" w:styleId="850">
    <w:name w:val="Hyperlink"/>
    <w:basedOn w:val="846"/>
    <w:rPr>
      <w:color w:val="0000ff"/>
      <w:u w:val="single"/>
    </w:rPr>
  </w:style>
  <w:style w:type="character" w:styleId="851">
    <w:name w:val="avg-Обычный Знак"/>
    <w:qFormat/>
    <w:rPr>
      <w:rFonts w:ascii="Myriad Pro;Arial" w:hAnsi="Myriad Pro;Arial" w:eastAsia="Calibri" w:cs="Myriad Pro;Arial"/>
      <w:sz w:val="22"/>
      <w:szCs w:val="22"/>
      <w:lang w:val="en-US"/>
    </w:rPr>
  </w:style>
  <w:style w:type="paragraph" w:styleId="852">
    <w:name w:val="Heading"/>
    <w:basedOn w:val="835"/>
    <w:next w:val="853"/>
    <w:qFormat/>
    <w:pPr>
      <w:jc w:val="center"/>
    </w:pPr>
    <w:rPr>
      <w:b/>
      <w:bCs/>
      <w:sz w:val="24"/>
      <w:szCs w:val="24"/>
    </w:rPr>
  </w:style>
  <w:style w:type="paragraph" w:styleId="853">
    <w:name w:val="Body Text"/>
    <w:basedOn w:val="835"/>
    <w:pPr>
      <w:jc w:val="both"/>
    </w:pPr>
    <w:rPr>
      <w:sz w:val="24"/>
    </w:rPr>
  </w:style>
  <w:style w:type="paragraph" w:styleId="854">
    <w:name w:val="List"/>
    <w:basedOn w:val="853"/>
  </w:style>
  <w:style w:type="paragraph" w:styleId="855">
    <w:name w:val="Caption"/>
    <w:basedOn w:val="835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856">
    <w:name w:val="Index"/>
    <w:basedOn w:val="835"/>
    <w:qFormat/>
    <w:pPr>
      <w:suppressLineNumbers/>
    </w:pPr>
  </w:style>
  <w:style w:type="paragraph" w:styleId="857">
    <w:name w:val="Body Text Indent"/>
    <w:basedOn w:val="835"/>
    <w:pPr>
      <w:ind w:firstLine="567"/>
    </w:pPr>
    <w:rPr>
      <w:sz w:val="28"/>
    </w:rPr>
  </w:style>
  <w:style w:type="paragraph" w:styleId="858">
    <w:name w:val="LO-Normal"/>
    <w:qFormat/>
    <w:pPr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859">
    <w:name w:val="Текст примечания"/>
    <w:basedOn w:val="835"/>
    <w:qFormat/>
  </w:style>
  <w:style w:type="paragraph" w:styleId="860">
    <w:name w:val="Тема примечания"/>
    <w:basedOn w:val="859"/>
    <w:next w:val="859"/>
    <w:qFormat/>
    <w:rPr>
      <w:b/>
      <w:bCs/>
    </w:rPr>
  </w:style>
  <w:style w:type="paragraph" w:styleId="861">
    <w:name w:val="Текст выноски"/>
    <w:basedOn w:val="835"/>
    <w:qFormat/>
    <w:rPr>
      <w:rFonts w:ascii="Tahoma" w:hAnsi="Tahoma" w:cs="Tahoma"/>
      <w:sz w:val="16"/>
      <w:szCs w:val="16"/>
    </w:rPr>
  </w:style>
  <w:style w:type="paragraph" w:styleId="862">
    <w:name w:val="Текст"/>
    <w:basedOn w:val="835"/>
    <w:qFormat/>
    <w:rPr>
      <w:rFonts w:ascii="Courier New" w:hAnsi="Courier New" w:cs="Courier New"/>
    </w:rPr>
  </w:style>
  <w:style w:type="paragraph" w:styleId="863">
    <w:name w:val="LO-normal"/>
    <w:basedOn w:val="835"/>
    <w:qFormat/>
    <w:pPr>
      <w:spacing w:before="280" w:after="280"/>
    </w:pPr>
    <w:rPr>
      <w:sz w:val="24"/>
      <w:szCs w:val="24"/>
    </w:rPr>
  </w:style>
  <w:style w:type="paragraph" w:styleId="864">
    <w:name w:val="Обычный (веб)"/>
    <w:basedOn w:val="835"/>
    <w:qFormat/>
    <w:pPr>
      <w:spacing w:before="280" w:after="280"/>
    </w:pPr>
    <w:rPr>
      <w:sz w:val="24"/>
      <w:szCs w:val="24"/>
    </w:rPr>
  </w:style>
  <w:style w:type="paragraph" w:styleId="865">
    <w:name w:val="Header and Footer"/>
    <w:basedOn w:val="835"/>
    <w:qFormat/>
    <w:pPr>
      <w:tabs>
        <w:tab w:val="clear" w:pos="708" w:leader="none"/>
        <w:tab w:val="center" w:pos="4819" w:leader="none"/>
        <w:tab w:val="right" w:pos="9638" w:leader="none"/>
      </w:tabs>
      <w:suppressLineNumbers/>
    </w:pPr>
  </w:style>
  <w:style w:type="paragraph" w:styleId="866">
    <w:name w:val="Header"/>
    <w:basedOn w:val="835"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67">
    <w:name w:val="ConsNormal"/>
    <w:qFormat/>
    <w:pPr>
      <w:ind w:firstLine="720"/>
      <w:widowControl w:val="off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868">
    <w:name w:val="avg-Обычный"/>
    <w:basedOn w:val="835"/>
    <w:qFormat/>
    <w:pPr>
      <w:jc w:val="both"/>
      <w:spacing w:before="60" w:after="60" w:line="216" w:lineRule="auto"/>
    </w:pPr>
    <w:rPr>
      <w:rFonts w:ascii="Myriad Pro;Arial" w:hAnsi="Myriad Pro;Arial" w:eastAsia="Calibri" w:cs="Myriad Pro;Arial"/>
      <w:sz w:val="22"/>
      <w:szCs w:val="22"/>
      <w:lang w:val="en-US"/>
    </w:rPr>
  </w:style>
  <w:style w:type="paragraph" w:styleId="869">
    <w:name w:val="avg-Название таблицы"/>
    <w:basedOn w:val="868"/>
    <w:next w:val="868"/>
    <w:qFormat/>
    <w:pPr>
      <w:jc w:val="left"/>
      <w:keepNext/>
      <w:spacing w:before="240" w:after="60"/>
    </w:pPr>
    <w:rPr>
      <w:rFonts w:ascii="Arial Narrow" w:hAnsi="Arial Narrow" w:cs="Arial Narrow"/>
      <w:b/>
      <w:bCs/>
      <w:sz w:val="20"/>
      <w:szCs w:val="20"/>
      <w:lang w:val="ru-RU"/>
    </w:rPr>
  </w:style>
  <w:style w:type="paragraph" w:styleId="870">
    <w:name w:val="Абзац списка"/>
    <w:basedOn w:val="835"/>
    <w:qFormat/>
    <w:pPr>
      <w:contextualSpacing/>
      <w:ind w:left="720" w:firstLine="0"/>
      <w:spacing w:before="0" w:after="0"/>
    </w:pPr>
  </w:style>
  <w:style w:type="paragraph" w:styleId="871">
    <w:name w:val="Table Contents"/>
    <w:basedOn w:val="835"/>
    <w:qFormat/>
    <w:pPr>
      <w:widowControl w:val="off"/>
      <w:suppressLineNumbers/>
    </w:pPr>
  </w:style>
  <w:style w:type="paragraph" w:styleId="872">
    <w:name w:val="Table Heading"/>
    <w:basedOn w:val="871"/>
    <w:qFormat/>
    <w:pPr>
      <w:jc w:val="center"/>
      <w:suppressLineNumbers/>
    </w:pPr>
    <w:rPr>
      <w:b/>
      <w:bCs/>
    </w:rPr>
  </w:style>
  <w:style w:type="numbering" w:styleId="873">
    <w:name w:val="WW8Num1"/>
    <w:qFormat/>
  </w:style>
  <w:style w:type="numbering" w:styleId="874">
    <w:name w:val="WW8Num2"/>
    <w:qFormat/>
  </w:style>
  <w:style w:type="numbering" w:styleId="875">
    <w:name w:val="WW8Num3"/>
    <w:qFormat/>
  </w:style>
  <w:style w:type="numbering" w:styleId="876">
    <w:name w:val="WW8Num4"/>
    <w:qFormat/>
  </w:style>
  <w:style w:type="numbering" w:styleId="877">
    <w:name w:val="WW8Num5"/>
    <w:qFormat/>
  </w:style>
  <w:style w:type="numbering" w:styleId="878">
    <w:name w:val="WW8Num6"/>
    <w:qFormat/>
  </w:style>
  <w:style w:type="numbering" w:styleId="879">
    <w:name w:val="WW8Num7"/>
    <w:qFormat/>
  </w:style>
  <w:style w:type="numbering" w:styleId="880">
    <w:name w:val="WW8Num8"/>
    <w:qFormat/>
  </w:style>
  <w:style w:type="numbering" w:styleId="881">
    <w:name w:val="WW8Num9"/>
    <w:qFormat/>
  </w:style>
  <w:style w:type="character" w:styleId="882" w:default="1">
    <w:name w:val="Default Paragraph Font"/>
    <w:uiPriority w:val="1"/>
    <w:semiHidden/>
    <w:unhideWhenUsed/>
  </w:style>
  <w:style w:type="numbering" w:styleId="883" w:default="1">
    <w:name w:val="No List"/>
    <w:uiPriority w:val="99"/>
    <w:semiHidden/>
    <w:unhideWhenUsed/>
  </w:style>
  <w:style w:type="table" w:styleId="88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</dc:title>
  <dc:subject/>
  <dc:creator>ara</dc:creator>
  <cp:keywords/>
  <dc:description/>
  <dc:language>en-US</dc:language>
  <cp:lastModifiedBy>Мария Гузарь</cp:lastModifiedBy>
  <cp:revision>105</cp:revision>
  <dcterms:created xsi:type="dcterms:W3CDTF">2011-05-16T10:26:00Z</dcterms:created>
  <dcterms:modified xsi:type="dcterms:W3CDTF">2025-02-26T12:06:02Z</dcterms:modified>
</cp:coreProperties>
</file>