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4A1A74">
        <w:rPr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4A1A7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Тула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>
        <w:rPr>
          <w:noProof/>
          <w:color w:val="000000"/>
          <w:spacing w:val="-4"/>
          <w:sz w:val="24"/>
          <w:szCs w:val="24"/>
        </w:rPr>
        <w:t>202</w:t>
      </w:r>
      <w:r w:rsidR="00D2342E">
        <w:rPr>
          <w:noProof/>
          <w:color w:val="000000"/>
          <w:spacing w:val="-4"/>
          <w:sz w:val="24"/>
          <w:szCs w:val="24"/>
        </w:rPr>
        <w:t>2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A1A74" w:rsidRDefault="005B6754" w:rsidP="006F478E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A1A74" w:rsidRPr="004A1A74">
        <w:rPr>
          <w:bCs/>
          <w:noProof/>
          <w:sz w:val="24"/>
          <w:szCs w:val="24"/>
        </w:rPr>
        <w:t>Общество с ограниченной ответственностью «СК ФАВОРИТ» (ОГРН: 1157154016744; ИНН: 7106028104; адрес: 300041, Тульская о</w:t>
      </w:r>
      <w:r w:rsidR="004A1A74">
        <w:rPr>
          <w:bCs/>
          <w:noProof/>
          <w:sz w:val="24"/>
          <w:szCs w:val="24"/>
        </w:rPr>
        <w:t>бл., г. Тула, ул. Мосина, д. 5)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4A1A74">
        <w:rPr>
          <w:sz w:val="24"/>
          <w:szCs w:val="24"/>
        </w:rPr>
        <w:t>ой</w:t>
      </w:r>
      <w:r w:rsidR="00437C44" w:rsidRPr="007E2432">
        <w:rPr>
          <w:sz w:val="24"/>
          <w:szCs w:val="24"/>
        </w:rPr>
        <w:t xml:space="preserve">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A1A74">
        <w:rPr>
          <w:sz w:val="24"/>
          <w:szCs w:val="24"/>
        </w:rPr>
        <w:t xml:space="preserve">, </w:t>
      </w:r>
      <w:r w:rsidR="004A1A74" w:rsidRPr="004A1A74">
        <w:rPr>
          <w:sz w:val="24"/>
          <w:szCs w:val="24"/>
        </w:rPr>
        <w:t>в лице конкурсного управляющего Новиков</w:t>
      </w:r>
      <w:r w:rsidR="004A1A74">
        <w:rPr>
          <w:sz w:val="24"/>
          <w:szCs w:val="24"/>
        </w:rPr>
        <w:t>а</w:t>
      </w:r>
      <w:r w:rsidR="004A1A74" w:rsidRPr="004A1A74">
        <w:rPr>
          <w:sz w:val="24"/>
          <w:szCs w:val="24"/>
        </w:rPr>
        <w:t xml:space="preserve"> Павла Васильевича, действующего на основании Решения Арбитражного суда Тульской области от 18.07.2019 по делу А68-7672/2019 </w:t>
      </w:r>
      <w:r w:rsidR="004A1A74">
        <w:rPr>
          <w:color w:val="000000"/>
          <w:spacing w:val="-1"/>
          <w:sz w:val="24"/>
          <w:szCs w:val="24"/>
        </w:rPr>
        <w:t>с одной стороны,</w:t>
      </w:r>
    </w:p>
    <w:p w:rsidR="00E105B6" w:rsidRPr="007E2432" w:rsidRDefault="00E105B6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-1"/>
          <w:sz w:val="24"/>
          <w:szCs w:val="24"/>
        </w:rPr>
        <w:t>и</w:t>
      </w:r>
      <w:r w:rsidR="005B6754"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455A64">
        <w:rPr>
          <w:color w:val="000000"/>
          <w:spacing w:val="3"/>
          <w:sz w:val="24"/>
          <w:szCs w:val="24"/>
        </w:rPr>
        <w:t xml:space="preserve"> Лот</w:t>
      </w:r>
      <w:r w:rsidR="00882ABE">
        <w:rPr>
          <w:color w:val="000000"/>
          <w:spacing w:val="3"/>
          <w:sz w:val="24"/>
          <w:szCs w:val="24"/>
        </w:rPr>
        <w:t>а</w:t>
      </w:r>
      <w:r w:rsidR="00455A64">
        <w:rPr>
          <w:color w:val="000000"/>
          <w:spacing w:val="3"/>
          <w:sz w:val="24"/>
          <w:szCs w:val="24"/>
        </w:rPr>
        <w:t xml:space="preserve"> №1</w:t>
      </w:r>
      <w:r w:rsidR="006B0454" w:rsidRPr="007E2432">
        <w:rPr>
          <w:color w:val="000000"/>
          <w:spacing w:val="3"/>
          <w:sz w:val="24"/>
          <w:szCs w:val="24"/>
        </w:rPr>
        <w:t>:</w:t>
      </w:r>
    </w:p>
    <w:p w:rsidR="00E105B6" w:rsidRPr="007E2432" w:rsidRDefault="00882ABE" w:rsidP="00D2342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882ABE">
        <w:rPr>
          <w:color w:val="000000"/>
          <w:spacing w:val="3"/>
          <w:sz w:val="24"/>
          <w:szCs w:val="24"/>
        </w:rPr>
        <w:t xml:space="preserve">– </w:t>
      </w:r>
      <w:r w:rsidR="00D2342E" w:rsidRPr="00D2342E">
        <w:rPr>
          <w:color w:val="000000"/>
          <w:spacing w:val="3"/>
          <w:sz w:val="24"/>
          <w:szCs w:val="24"/>
        </w:rPr>
        <w:t>Нежилое помещение площадью 3,7 кв.м., кадастровый номер 71:14:030501:7345, расположенное по адресу: г. Тула, ул. Новомосковская, д.10; Нежилое помещение площадью 3,7 кв.м., кадастровый номер 71:14:030501:7344, расположенное по адресу: г. Тула, ул. Новомосковская, д.10; Нежилое помещение площадью 5,4 кв.м., кадастровый номер 71:14:030501:7343, расположенное по адресу: г. Тула, ул. Новомосковская, д.10; Нежилое помещение площадью 6,5 кв.м., кадастровый номер 71:14:030501:7342, расположенное по адресу: г. Тула, ул. Новомосковская, д.10; Нежилое помещение площадью 3,6 кв.м., кадастровый номер 71:14:030501:7341, расположенное по адресу: г. Тула, ул. Новомосковская, д.10; Нежилое помещение площадью 3,6 кв.м., кадастровый номер 71:14:030501:7340, расположенное по адресу: г. Тула, ул. Новомосковская, д.10; Нежилое помещение площадью 42,1 кв.м., кадастровый номер 71:14:030501:7339, расположенное по адресу: г. Тула, ул. Новомосковская, д.10; Нежилое помещение площадью 7,7 кв.м., кадастровый номер 71:14:030501:7338, расположенное по адресу: г. Тула, ул. Новомосковская, д.10; Нежилое помещение площадью 2,1 кв.м., кадастровый номер 71:14:030501:7337, расположенное по адресу: г. Тула, ул. Новомосковская, д.10; Нежилое помещение площадью 26,1 кв.м., кадастровый номер 71:14:030501:7336, расположенное по адресу: г. Тула, ул. Новомосковская, д.10; Нежилое помещение площадью 6,4 кв.м., кадастровый номер 71:14:030501:7335, расположенное по адресу: г. Тула, ул. Новомосковская, д.10; Нежилое помещение площадью 71,8 кв.м., кадастровый номер 71:14:030501:7334, расположенное по адресу: г. Тула, ул. Новомосковская, д.10; Нежилое помещение площадью 56,6 кв.м., кадастровый номер 71:14:030501:7333, расположенное по адресу: г. Тула, ул. Новомосковская, д.10; Нежилое помещение площадью 41,2 кв.м., кадастровый номер 71:14:030501:7332, расположенное по адресу: г. Тула, ул. Новомосковская, д.10; Нежилое помещение площадью 4,9 кв.м., кадастровый номер 71:14:030501:7331, расположенное по адресу: г. Тула, ул. Новомосковская, д.10; Нежилое помещение площадью 30,4 кв.м., кадастровый номер 71:14:030501:7713, расположенное по адресу: г. Тула, ул. Новомосковская, д.10; Нежилое помещение площадью 25,3 кв.м., кадастровый номер 71:14:030501:7714, расположенное по адресу: г. Тула, ул. Новомосковская, д.10; Нежилое помещение площадью 89,6 кв.м., кадастровый номер 71:14:030501:7715, расположенное по адресу: г. Тула, ул. Новомосковская, д.10; Нежилое помещение площадью 42,4 кв.м., кадастровый номер 71:14:030501:7716, расположенное по адресу: г. Тула, ул. Новомосковская, д.10; Нежилое помещение площадью 14,1 кв.м., кадастровый номер 71:14:030501:7717, расположенное по адресу: г. Тула, ул. Новомосковская, д.10; Нежилое помещение площадью 4,2 кв.м., кадастровый номер 71:14:030501:7718, расположенное по адресу: г. Тула, ул. Новомосковская, д.10; Нежилое помещение площадью 26,7 кв.м., кадастровый номер 71:14:030501:7328, расположенное по адресу: г. Тула, ул. Новомосковская, д.10; Нежилое помещение площадью 22,1 кв.м., кадастровый номер 71:14:030501:7329, расположенное по адресу: г. Тула, ул. Новомосковская, д.10; Нежилое помещение площадью 12,5 кв.м., кадастровый номер 71:14:030501:7330, расположенное по адресу: г. Тула, ул. Новомосковская, д.10.</w:t>
      </w:r>
      <w:r w:rsidR="00D2342E">
        <w:rPr>
          <w:color w:val="000000"/>
          <w:spacing w:val="3"/>
          <w:sz w:val="24"/>
          <w:szCs w:val="24"/>
        </w:rPr>
        <w:t xml:space="preserve">, </w:t>
      </w:r>
      <w:r w:rsidR="005301CB"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Pr="00882ABE">
        <w:rPr>
          <w:color w:val="000000"/>
          <w:spacing w:val="3"/>
          <w:sz w:val="24"/>
          <w:szCs w:val="24"/>
        </w:rPr>
        <w:t>http://www.meta-invest.ru/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455A64">
        <w:rPr>
          <w:b/>
          <w:sz w:val="24"/>
          <w:szCs w:val="24"/>
        </w:rPr>
        <w:t xml:space="preserve">______________ </w:t>
      </w:r>
      <w:r w:rsidR="00455A64">
        <w:rPr>
          <w:b/>
          <w:sz w:val="24"/>
          <w:szCs w:val="24"/>
        </w:rPr>
        <w:lastRenderedPageBreak/>
        <w:t>(________________________________)</w:t>
      </w:r>
      <w:r>
        <w:rPr>
          <w:b/>
          <w:sz w:val="24"/>
          <w:szCs w:val="24"/>
        </w:rPr>
        <w:t xml:space="preserve"> </w:t>
      </w:r>
      <w:r w:rsidR="0037753D">
        <w:rPr>
          <w:b/>
          <w:color w:val="000000"/>
          <w:spacing w:val="3"/>
          <w:sz w:val="24"/>
          <w:szCs w:val="24"/>
        </w:rPr>
        <w:t>рублей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</w:t>
      </w:r>
      <w:r w:rsidR="00CB7DD6" w:rsidRPr="004369BF">
        <w:rPr>
          <w:color w:val="000000"/>
          <w:sz w:val="24"/>
          <w:szCs w:val="24"/>
        </w:rPr>
        <w:t>Коммерсантъ»</w:t>
      </w:r>
      <w:r w:rsidR="00201A3E" w:rsidRPr="004369BF">
        <w:rPr>
          <w:color w:val="000000"/>
          <w:spacing w:val="3"/>
          <w:sz w:val="24"/>
          <w:szCs w:val="24"/>
        </w:rPr>
        <w:t xml:space="preserve"> </w:t>
      </w:r>
      <w:r w:rsidR="00F423DF" w:rsidRPr="004369BF">
        <w:rPr>
          <w:color w:val="000000"/>
          <w:spacing w:val="3"/>
          <w:sz w:val="24"/>
          <w:szCs w:val="24"/>
        </w:rPr>
        <w:t>перечисляет</w:t>
      </w:r>
      <w:r w:rsidR="00E105B6" w:rsidRPr="004369BF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369BF">
        <w:rPr>
          <w:color w:val="000000"/>
          <w:spacing w:val="5"/>
          <w:sz w:val="24"/>
          <w:szCs w:val="24"/>
        </w:rPr>
        <w:t>торгов</w:t>
      </w:r>
      <w:r w:rsidR="00EB4C9A" w:rsidRPr="004369BF">
        <w:rPr>
          <w:color w:val="000000"/>
          <w:spacing w:val="5"/>
          <w:sz w:val="24"/>
          <w:szCs w:val="24"/>
        </w:rPr>
        <w:t xml:space="preserve"> задаток</w:t>
      </w:r>
      <w:r w:rsidR="00B21228" w:rsidRPr="004369BF">
        <w:rPr>
          <w:color w:val="000000"/>
          <w:spacing w:val="5"/>
          <w:sz w:val="24"/>
          <w:szCs w:val="24"/>
        </w:rPr>
        <w:t xml:space="preserve"> за лот №</w:t>
      </w:r>
      <w:r w:rsidR="006B0454" w:rsidRPr="004369BF">
        <w:rPr>
          <w:color w:val="000000"/>
          <w:spacing w:val="5"/>
          <w:sz w:val="24"/>
          <w:szCs w:val="24"/>
        </w:rPr>
        <w:t xml:space="preserve"> </w:t>
      </w:r>
      <w:r w:rsidR="00455A64" w:rsidRPr="004369BF">
        <w:rPr>
          <w:color w:val="000000"/>
          <w:spacing w:val="5"/>
          <w:sz w:val="24"/>
          <w:szCs w:val="24"/>
        </w:rPr>
        <w:t>1</w:t>
      </w:r>
      <w:r w:rsidR="00010D1C" w:rsidRPr="004369BF">
        <w:rPr>
          <w:color w:val="000000"/>
          <w:spacing w:val="5"/>
          <w:sz w:val="24"/>
          <w:szCs w:val="24"/>
        </w:rPr>
        <w:t xml:space="preserve"> </w:t>
      </w:r>
      <w:bookmarkStart w:id="0" w:name="_GoBack"/>
      <w:bookmarkEnd w:id="0"/>
      <w:r w:rsidR="00E105B6" w:rsidRPr="004369BF">
        <w:rPr>
          <w:color w:val="000000"/>
          <w:spacing w:val="5"/>
          <w:sz w:val="24"/>
          <w:szCs w:val="24"/>
        </w:rPr>
        <w:t>в размере</w:t>
      </w:r>
      <w:r w:rsidR="00CC3423" w:rsidRPr="004369BF">
        <w:rPr>
          <w:color w:val="000000"/>
          <w:spacing w:val="5"/>
          <w:sz w:val="24"/>
          <w:szCs w:val="24"/>
        </w:rPr>
        <w:t xml:space="preserve"> </w:t>
      </w:r>
      <w:r w:rsidR="004369BF" w:rsidRPr="004369BF">
        <w:rPr>
          <w:sz w:val="24"/>
          <w:szCs w:val="24"/>
        </w:rPr>
        <w:t xml:space="preserve">1 824 608,7 </w:t>
      </w:r>
      <w:r w:rsidR="00386E6B" w:rsidRPr="004369BF">
        <w:rPr>
          <w:b/>
          <w:color w:val="000000"/>
          <w:spacing w:val="5"/>
          <w:sz w:val="24"/>
          <w:szCs w:val="24"/>
        </w:rPr>
        <w:t>рубля</w:t>
      </w:r>
      <w:r w:rsidR="00437C44" w:rsidRPr="00D85BB7">
        <w:rPr>
          <w:b/>
          <w:color w:val="000000"/>
          <w:spacing w:val="5"/>
          <w:sz w:val="24"/>
          <w:szCs w:val="24"/>
        </w:rPr>
        <w:t>,</w:t>
      </w:r>
      <w:r w:rsidR="00437C44" w:rsidRPr="007E2432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7E2432">
        <w:rPr>
          <w:color w:val="000000"/>
          <w:spacing w:val="5"/>
          <w:sz w:val="24"/>
          <w:szCs w:val="24"/>
        </w:rPr>
        <w:t xml:space="preserve">что составляет </w:t>
      </w:r>
      <w:r w:rsidR="005B2AAC">
        <w:rPr>
          <w:color w:val="000000"/>
          <w:spacing w:val="5"/>
          <w:sz w:val="24"/>
          <w:szCs w:val="24"/>
        </w:rPr>
        <w:t>1</w:t>
      </w:r>
      <w:r w:rsidR="00CC3423" w:rsidRPr="007E2432">
        <w:rPr>
          <w:color w:val="000000"/>
          <w:spacing w:val="5"/>
          <w:sz w:val="24"/>
          <w:szCs w:val="24"/>
        </w:rPr>
        <w:t>0% от начальной цены продажи, а</w:t>
      </w:r>
      <w:r w:rsidR="00E105B6" w:rsidRPr="007E2432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7E2432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7E2432">
        <w:rPr>
          <w:color w:val="000000"/>
          <w:spacing w:val="-2"/>
          <w:sz w:val="24"/>
          <w:szCs w:val="24"/>
        </w:rPr>
        <w:t>данный задаток.</w:t>
      </w:r>
      <w:r w:rsidR="005C014F">
        <w:t>‬</w:t>
      </w:r>
      <w:r w:rsidR="005C014F">
        <w:t>‬</w:t>
      </w:r>
      <w:r w:rsidR="00591645">
        <w:t>‬</w:t>
      </w:r>
      <w:r w:rsidR="00591645">
        <w:t>‬</w:t>
      </w:r>
      <w:r w:rsidR="00D501A9">
        <w:t>‬</w:t>
      </w:r>
      <w:r w:rsidR="00D501A9">
        <w:t>‬</w:t>
      </w:r>
      <w:r w:rsidR="00985C64">
        <w:t>‬</w:t>
      </w:r>
      <w:r w:rsidR="00985C64">
        <w:t>‬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ООО «СК ФАВОРИТ»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Юр. адрес: 300041, Тульская обл., г. Тула, ул. Мосина, д. 5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ОГРН: 1157154016744;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ИНН: 7106028104,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КПП: 710601001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Номер счёта: </w:t>
            </w:r>
            <w:r w:rsidRPr="007623E9">
              <w:rPr>
                <w:noProof/>
                <w:sz w:val="26"/>
                <w:szCs w:val="26"/>
              </w:rPr>
              <w:t>40702810601300023204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Валюта: Рубли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ИНН: 7106028104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Банк: АО «АЛЬФА-БАНК»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КПП: 710601001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БИК: 044525593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Кор. счёт: 30101810200000000593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 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Pr="003F175E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C64" w:rsidRDefault="00985C64">
      <w:r>
        <w:separator/>
      </w:r>
    </w:p>
  </w:endnote>
  <w:endnote w:type="continuationSeparator" w:id="0">
    <w:p w:rsidR="00985C64" w:rsidRDefault="00985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85C64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C64" w:rsidRDefault="00985C64">
      <w:r>
        <w:separator/>
      </w:r>
    </w:p>
  </w:footnote>
  <w:footnote w:type="continuationSeparator" w:id="0">
    <w:p w:rsidR="00985C64" w:rsidRDefault="00985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69BF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91645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985C64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2342E"/>
    <w:rsid w:val="00D42D07"/>
    <w:rsid w:val="00D501A9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03AB6E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2849DE-D3F1-4500-A008-E5CAFBB0D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2022-06-02T15:07:00Z</dcterms:created>
  <dcterms:modified xsi:type="dcterms:W3CDTF">2022-06-02T15:07:00Z</dcterms:modified>
</cp:coreProperties>
</file>