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 xml:space="preserve">Конкурсный управляющий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rtl w:val="0"/>
        </w:rPr>
        <w:t xml:space="preserve"> 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 xml:space="preserve">14.11.2018 </w:t>
      </w:r>
      <w:r>
        <w:rPr>
          <w:rtl w:val="0"/>
        </w:rPr>
        <w:t>года по делу №А</w:t>
      </w:r>
      <w:r>
        <w:rPr>
          <w:rtl w:val="0"/>
        </w:rPr>
        <w:t>56-96806/2017,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26% </w:t>
      </w:r>
      <w:r>
        <w:rPr>
          <w:rtl w:val="0"/>
          <w:lang w:val="ru-RU"/>
        </w:rPr>
        <w:t xml:space="preserve">доля в ООО «Ювелирный Центр»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7806343285)</w:t>
      </w:r>
      <w:r>
        <w:rPr>
          <w:b w:val="1"/>
          <w:bCs w:val="1"/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40702810425000004021</w:t>
      </w:r>
      <w:r>
        <w:rPr>
          <w:rtl w:val="0"/>
          <w:lang w:val="ru-RU"/>
        </w:rPr>
        <w:t xml:space="preserve"> 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